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b/>
          <w:b/>
        </w:rPr>
      </w:pPr>
      <w:r>
        <w:rPr>
          <w:b/>
        </w:rPr>
      </w:r>
    </w:p>
    <w:p>
      <w:pPr>
        <w:pStyle w:val="Normal"/>
        <w:jc w:val="center"/>
        <w:rPr/>
      </w:pPr>
      <w:r>
        <w:rPr>
          <w:rFonts w:cs="Calibri" w:ascii="Calibri" w:hAnsi="Calibri"/>
          <w:b/>
          <w:sz w:val="24"/>
          <w:szCs w:val="24"/>
        </w:rPr>
        <w:t>CRF-PR JÚNIOR</w:t>
      </w:r>
    </w:p>
    <w:p>
      <w:pPr>
        <w:pStyle w:val="Normal"/>
        <w:tabs>
          <w:tab w:val="clear" w:pos="708"/>
          <w:tab w:val="left" w:pos="690" w:leader="none"/>
          <w:tab w:val="center" w:pos="4252" w:leader="none"/>
        </w:tabs>
        <w:jc w:val="center"/>
        <w:rPr/>
      </w:pPr>
      <w:r>
        <w:rPr>
          <w:rFonts w:cs="Calibri" w:ascii="Calibri" w:hAnsi="Calibri"/>
          <w:b/>
          <w:bCs/>
          <w:sz w:val="24"/>
          <w:szCs w:val="24"/>
        </w:rPr>
        <w:t>TERMO DE COOPERAÇÃO</w:t>
      </w:r>
    </w:p>
    <w:p>
      <w:pPr>
        <w:pStyle w:val="Normal"/>
        <w:jc w:val="center"/>
        <w:rPr>
          <w:rFonts w:ascii="Calibri" w:hAnsi="Calibri" w:cs="Calibri"/>
          <w:b/>
          <w:b/>
          <w:sz w:val="24"/>
          <w:szCs w:val="24"/>
        </w:rPr>
      </w:pPr>
      <w:r>
        <w:rPr>
          <w:rFonts w:cs="Calibri" w:ascii="Calibri" w:hAnsi="Calibri"/>
          <w:b/>
          <w:sz w:val="24"/>
          <w:szCs w:val="24"/>
        </w:rPr>
      </w:r>
    </w:p>
    <w:p>
      <w:pPr>
        <w:pStyle w:val="Normal"/>
        <w:rPr>
          <w:rFonts w:ascii="Calibri" w:hAnsi="Calibri"/>
          <w:sz w:val="24"/>
          <w:szCs w:val="24"/>
        </w:rPr>
      </w:pPr>
      <w:r>
        <w:rPr>
          <w:rFonts w:ascii="Calibri" w:hAnsi="Calibri"/>
          <w:sz w:val="24"/>
          <w:szCs w:val="24"/>
        </w:rPr>
      </w:r>
    </w:p>
    <w:p>
      <w:pPr>
        <w:pStyle w:val="Normal"/>
        <w:spacing w:lineRule="auto" w:line="276"/>
        <w:jc w:val="both"/>
        <w:rPr/>
      </w:pPr>
      <w:r>
        <w:rPr>
          <w:rFonts w:ascii="Calibri" w:hAnsi="Calibri"/>
          <w:sz w:val="24"/>
          <w:szCs w:val="24"/>
        </w:rPr>
        <w:t>Convênio que entre si celebram o Conselho Regional de Farmácia do Estado do Paraná e a Instituição de Ensino Superior denominada:________________________________</w:t>
      </w:r>
    </w:p>
    <w:p>
      <w:pPr>
        <w:pStyle w:val="Normal"/>
        <w:spacing w:lineRule="auto" w:line="276"/>
        <w:jc w:val="both"/>
        <w:rPr/>
      </w:pPr>
      <w:r>
        <w:rPr>
          <w:rFonts w:ascii="Calibri" w:hAnsi="Calibri"/>
          <w:sz w:val="24"/>
          <w:szCs w:val="24"/>
        </w:rPr>
        <w:t xml:space="preserve">objetivando a implementação das ações do programa CRF JÚNIOR. </w:t>
      </w:r>
    </w:p>
    <w:p>
      <w:pPr>
        <w:pStyle w:val="Normal"/>
        <w:spacing w:lineRule="auto" w:line="276"/>
        <w:jc w:val="both"/>
        <w:rPr>
          <w:rFonts w:ascii="Calibri" w:hAnsi="Calibri"/>
          <w:sz w:val="24"/>
          <w:szCs w:val="24"/>
        </w:rPr>
      </w:pPr>
      <w:r>
        <w:rPr>
          <w:rFonts w:ascii="Calibri" w:hAnsi="Calibri"/>
          <w:sz w:val="24"/>
          <w:szCs w:val="24"/>
        </w:rPr>
      </w:r>
    </w:p>
    <w:p>
      <w:pPr>
        <w:pStyle w:val="Normal"/>
        <w:rPr/>
      </w:pPr>
      <w:r>
        <w:rPr>
          <w:rFonts w:ascii="Calibri" w:hAnsi="Calibri"/>
          <w:b/>
          <w:sz w:val="24"/>
          <w:szCs w:val="24"/>
        </w:rPr>
        <w:t xml:space="preserve"> </w:t>
      </w:r>
      <w:r>
        <w:rPr>
          <w:rFonts w:ascii="Calibri" w:hAnsi="Calibri"/>
          <w:b/>
          <w:sz w:val="24"/>
          <w:szCs w:val="24"/>
        </w:rPr>
        <w:t>1. Do objeto:</w:t>
      </w:r>
    </w:p>
    <w:p>
      <w:pPr>
        <w:pStyle w:val="Normal"/>
        <w:jc w:val="both"/>
        <w:rPr/>
      </w:pPr>
      <w:r>
        <w:rPr>
          <w:rFonts w:ascii="Calibri" w:hAnsi="Calibri"/>
          <w:sz w:val="24"/>
          <w:szCs w:val="24"/>
        </w:rPr>
        <w:br/>
        <w:t>1.1. O Conselho Regional de Farmácia do Estado do Paraná desenvolve o programa CRF-PR Júnior, com o objetivo de estimular o jovem estudante do curso de Farmácia a conhecer e praticar atividades correlatas à futura profissão. Para isso, indispensável à participação de estudantes egressos das diversas Faculdades de Farmácia do Estado.</w:t>
      </w:r>
    </w:p>
    <w:p>
      <w:pPr>
        <w:pStyle w:val="Normal"/>
        <w:jc w:val="both"/>
        <w:rPr>
          <w:rFonts w:ascii="Calibri" w:hAnsi="Calibri"/>
          <w:sz w:val="24"/>
          <w:szCs w:val="24"/>
        </w:rPr>
      </w:pPr>
      <w:r>
        <w:rPr>
          <w:rFonts w:ascii="Calibri" w:hAnsi="Calibri"/>
          <w:sz w:val="24"/>
          <w:szCs w:val="24"/>
        </w:rPr>
      </w:r>
    </w:p>
    <w:p>
      <w:pPr>
        <w:pStyle w:val="Normal"/>
        <w:jc w:val="both"/>
        <w:rPr/>
      </w:pPr>
      <w:r>
        <w:rPr>
          <w:rFonts w:ascii="Calibri" w:hAnsi="Calibri"/>
          <w:sz w:val="24"/>
          <w:szCs w:val="24"/>
        </w:rPr>
        <w:t>1.2. Fazem parte do objetivo do CRF-PR Júnior, além do estímulo ao conhecimento e o fomento ao interesse da profissão, a integração entre o futuro profissional e a população, em virtude da íntima relação das atribuições farmacêuticas e a saúde pública.</w:t>
      </w:r>
    </w:p>
    <w:p>
      <w:pPr>
        <w:pStyle w:val="Normal"/>
        <w:jc w:val="both"/>
        <w:rPr>
          <w:rFonts w:ascii="Calibri" w:hAnsi="Calibri"/>
          <w:sz w:val="24"/>
          <w:szCs w:val="24"/>
        </w:rPr>
      </w:pPr>
      <w:r>
        <w:rPr>
          <w:rFonts w:ascii="Calibri" w:hAnsi="Calibri"/>
          <w:sz w:val="24"/>
          <w:szCs w:val="24"/>
        </w:rPr>
      </w:r>
    </w:p>
    <w:p>
      <w:pPr>
        <w:pStyle w:val="Normal"/>
        <w:jc w:val="both"/>
        <w:rPr/>
      </w:pPr>
      <w:r>
        <w:rPr>
          <w:rFonts w:ascii="Calibri" w:hAnsi="Calibri"/>
          <w:sz w:val="24"/>
          <w:szCs w:val="24"/>
        </w:rPr>
        <w:t>1.3. Para tanto, a participação em conjunto da Entidade como responsável pelo programa e da Instituição de Ensino como gestora da educação do aluno é fundamental, mostrando-se relevante o consentimento com algumas obrigações recíprocas.</w:t>
      </w:r>
    </w:p>
    <w:p>
      <w:pPr>
        <w:pStyle w:val="Normal"/>
        <w:jc w:val="both"/>
        <w:rPr/>
      </w:pPr>
      <w:r>
        <w:rPr>
          <w:rFonts w:ascii="Calibri" w:hAnsi="Calibri"/>
          <w:sz w:val="24"/>
          <w:szCs w:val="24"/>
        </w:rPr>
        <w:br/>
      </w:r>
      <w:r>
        <w:rPr>
          <w:rFonts w:ascii="Calibri" w:hAnsi="Calibri"/>
          <w:b/>
          <w:sz w:val="24"/>
          <w:szCs w:val="24"/>
        </w:rPr>
        <w:t>2. Das obrigações do Conselho Regional de Farmácia:</w:t>
      </w:r>
    </w:p>
    <w:p>
      <w:pPr>
        <w:pStyle w:val="Normal"/>
        <w:jc w:val="both"/>
        <w:rPr/>
      </w:pPr>
      <w:r>
        <w:rPr>
          <w:rFonts w:ascii="Calibri" w:hAnsi="Calibri"/>
          <w:sz w:val="24"/>
          <w:szCs w:val="24"/>
        </w:rPr>
        <w:br/>
        <w:t>2.1. Manter o programa CRF-PR Júnior e apresentar a instituição de ensino seus objetivos profissionais e pedagógicos;</w:t>
      </w:r>
    </w:p>
    <w:p>
      <w:pPr>
        <w:pStyle w:val="Normal"/>
        <w:jc w:val="both"/>
        <w:rPr/>
      </w:pPr>
      <w:r>
        <w:rPr>
          <w:rFonts w:ascii="Calibri" w:hAnsi="Calibri"/>
          <w:sz w:val="24"/>
          <w:szCs w:val="24"/>
        </w:rPr>
        <w:br/>
        <w:t>2.2. Estabelecer os programas específicos a serem realizados pelos membros e componentes do CRF-PR Júnior;</w:t>
      </w:r>
    </w:p>
    <w:p>
      <w:pPr>
        <w:pStyle w:val="Normal"/>
        <w:jc w:val="both"/>
        <w:rPr/>
      </w:pPr>
      <w:r>
        <w:rPr>
          <w:rFonts w:ascii="Calibri" w:hAnsi="Calibri"/>
          <w:sz w:val="24"/>
          <w:szCs w:val="24"/>
        </w:rPr>
        <w:br/>
        <w:t>2.3.  Promover as ações específicas com recursos próprios ou com o apoio de outras entidades;</w:t>
      </w:r>
    </w:p>
    <w:p>
      <w:pPr>
        <w:pStyle w:val="Normal"/>
        <w:jc w:val="both"/>
        <w:rPr/>
      </w:pPr>
      <w:r>
        <w:rPr>
          <w:rFonts w:ascii="Calibri" w:hAnsi="Calibri"/>
          <w:sz w:val="24"/>
          <w:szCs w:val="24"/>
        </w:rPr>
        <w:br/>
        <w:t>2.4. Cooperar com a Instituição de Ensino nos projetos pedagógicos na área de atuação do programa</w:t>
      </w:r>
    </w:p>
    <w:p>
      <w:pPr>
        <w:pStyle w:val="Normal"/>
        <w:jc w:val="both"/>
        <w:rPr/>
      </w:pPr>
      <w:r>
        <w:rPr>
          <w:rFonts w:ascii="Calibri" w:hAnsi="Calibri"/>
          <w:sz w:val="24"/>
          <w:szCs w:val="24"/>
        </w:rPr>
        <w:br/>
        <w:t>2.5. Comunicar com a devida antecedência ao Coordenador do curso de Farmácia da Instituição de Ensino os detalhes das ações previamente consentidas e agendadas.</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r>
    </w:p>
    <w:p>
      <w:pPr>
        <w:pStyle w:val="Normal"/>
        <w:jc w:val="both"/>
        <w:rPr/>
      </w:pPr>
      <w:r>
        <w:rPr>
          <w:rFonts w:ascii="Calibri" w:hAnsi="Calibri"/>
          <w:b/>
          <w:sz w:val="24"/>
          <w:szCs w:val="24"/>
        </w:rPr>
        <w:t>3. Das obrigações da Instituição de Ensino:</w:t>
      </w:r>
    </w:p>
    <w:p>
      <w:pPr>
        <w:pStyle w:val="Normal"/>
        <w:jc w:val="both"/>
        <w:rPr>
          <w:rFonts w:ascii="Calibri" w:hAnsi="Calibri"/>
          <w:sz w:val="24"/>
          <w:szCs w:val="24"/>
        </w:rPr>
      </w:pPr>
      <w:r>
        <w:rPr>
          <w:rFonts w:ascii="Calibri" w:hAnsi="Calibri"/>
          <w:sz w:val="24"/>
          <w:szCs w:val="24"/>
        </w:rPr>
      </w:r>
    </w:p>
    <w:p>
      <w:pPr>
        <w:pStyle w:val="Normal"/>
        <w:jc w:val="both"/>
        <w:rPr/>
      </w:pPr>
      <w:r>
        <w:rPr>
          <w:rFonts w:ascii="Calibri" w:hAnsi="Calibri"/>
          <w:sz w:val="24"/>
          <w:szCs w:val="24"/>
        </w:rPr>
        <w:t>3.1. Incluir os projetos do CRF-PR Júnior nas atividades de extensão universitária;</w:t>
      </w:r>
    </w:p>
    <w:p>
      <w:pPr>
        <w:pStyle w:val="Normal"/>
        <w:jc w:val="both"/>
        <w:rPr/>
      </w:pPr>
      <w:r>
        <w:rPr>
          <w:rFonts w:ascii="Calibri" w:hAnsi="Calibri"/>
          <w:sz w:val="24"/>
          <w:szCs w:val="24"/>
        </w:rPr>
        <w:br/>
        <w:t>3.2. Consentir por escrito a participação de alunos do curso de Farmácia em atividades dos projetos do CRF-PR Júnior como trabalhos extraclasse além dos horários letivos, mediante prévia indicação dos respectivos envolvidos no projeto;</w:t>
        <w:br/>
      </w:r>
    </w:p>
    <w:p>
      <w:pPr>
        <w:pStyle w:val="Normal"/>
        <w:jc w:val="both"/>
        <w:rPr/>
      </w:pPr>
      <w:r>
        <w:rPr>
          <w:rFonts w:ascii="Calibri" w:hAnsi="Calibri"/>
          <w:sz w:val="24"/>
          <w:szCs w:val="24"/>
        </w:rPr>
        <w:t>3.3. Considerar, a seu critério, as atividades de seus alunos como extracurriculares e atribuir a elas o respectivo crédito.</w:t>
      </w:r>
    </w:p>
    <w:p>
      <w:pPr>
        <w:pStyle w:val="Normal"/>
        <w:jc w:val="both"/>
        <w:rPr>
          <w:rFonts w:ascii="Calibri" w:hAnsi="Calibri"/>
          <w:color w:val="FF0000"/>
          <w:sz w:val="24"/>
          <w:szCs w:val="24"/>
        </w:rPr>
      </w:pPr>
      <w:r>
        <w:rPr>
          <w:rFonts w:ascii="Calibri" w:hAnsi="Calibri"/>
          <w:color w:val="FF0000"/>
          <w:sz w:val="24"/>
          <w:szCs w:val="24"/>
        </w:rPr>
      </w:r>
    </w:p>
    <w:p>
      <w:pPr>
        <w:pStyle w:val="Normal"/>
        <w:jc w:val="both"/>
        <w:rPr>
          <w:rFonts w:ascii="Calibri" w:hAnsi="Calibri"/>
          <w:b/>
          <w:b/>
          <w:bCs/>
          <w:color w:val="auto"/>
          <w:sz w:val="24"/>
          <w:szCs w:val="24"/>
        </w:rPr>
      </w:pPr>
      <w:r>
        <w:rPr>
          <w:rFonts w:ascii="Calibri" w:hAnsi="Calibri"/>
          <w:b/>
          <w:bCs/>
          <w:color w:val="auto"/>
          <w:sz w:val="24"/>
          <w:szCs w:val="24"/>
        </w:rPr>
        <w:t>4. Da Proteção De Dados – Lei n. 13.709/2018</w:t>
      </w:r>
    </w:p>
    <w:p>
      <w:pPr>
        <w:pStyle w:val="Normal"/>
        <w:jc w:val="both"/>
        <w:rPr>
          <w:rFonts w:ascii="Calibri" w:hAnsi="Calibri"/>
          <w:b/>
          <w:b/>
          <w:bCs/>
          <w:color w:val="auto"/>
          <w:sz w:val="24"/>
          <w:szCs w:val="24"/>
        </w:rPr>
      </w:pPr>
      <w:r>
        <w:rPr>
          <w:rFonts w:ascii="Calibri" w:hAnsi="Calibri"/>
          <w:b/>
          <w:bCs/>
          <w:color w:val="auto"/>
          <w:sz w:val="24"/>
          <w:szCs w:val="24"/>
        </w:rPr>
      </w:r>
    </w:p>
    <w:p>
      <w:pPr>
        <w:pStyle w:val="Normal"/>
        <w:jc w:val="both"/>
        <w:rPr>
          <w:rFonts w:ascii="Calibri" w:hAnsi="Calibri"/>
          <w:color w:val="auto"/>
          <w:sz w:val="24"/>
          <w:szCs w:val="24"/>
        </w:rPr>
      </w:pPr>
      <w:r>
        <w:rPr>
          <w:rFonts w:ascii="Calibri" w:hAnsi="Calibri"/>
          <w:color w:val="auto"/>
          <w:sz w:val="24"/>
          <w:szCs w:val="24"/>
        </w:rPr>
        <w:t>4.1. É vedado às partes o tratamento de todo e qualquer dado pessoal repassado em decorrência da execução do presente instrumento para finalidade distinta daquela do objeto da contratação, sob pena de responsabilização administrativa, civil e criminal.</w:t>
      </w:r>
    </w:p>
    <w:p>
      <w:pPr>
        <w:pStyle w:val="Normal"/>
        <w:jc w:val="both"/>
        <w:rPr>
          <w:rFonts w:ascii="Calibri" w:hAnsi="Calibri"/>
          <w:color w:val="auto"/>
          <w:sz w:val="24"/>
          <w:szCs w:val="24"/>
        </w:rPr>
      </w:pPr>
      <w:r>
        <w:rPr>
          <w:rFonts w:ascii="Calibri" w:hAnsi="Calibri"/>
          <w:color w:val="auto"/>
          <w:sz w:val="24"/>
          <w:szCs w:val="24"/>
        </w:rPr>
        <w:t xml:space="preserve"> </w:t>
      </w:r>
    </w:p>
    <w:p>
      <w:pPr>
        <w:pStyle w:val="Normal"/>
        <w:jc w:val="both"/>
        <w:rPr>
          <w:rFonts w:ascii="Calibri" w:hAnsi="Calibri"/>
          <w:color w:val="auto"/>
          <w:sz w:val="24"/>
          <w:szCs w:val="24"/>
        </w:rPr>
      </w:pPr>
      <w:r>
        <w:rPr>
          <w:rFonts w:ascii="Calibri" w:hAnsi="Calibri"/>
          <w:color w:val="auto"/>
          <w:sz w:val="24"/>
          <w:szCs w:val="24"/>
        </w:rPr>
        <w:t>4.2. As partes se comprometem a manter sigilo e confidencialidade em relação a todos os dados e informações sigilosas eventualmente compartilhadas em decorrência do presente instrumento, vedada a sua comunicação a terceiros, seja direta ou indiretamente, sob pena de violação de sigilo legal em consonância com o disposto na Lei n. 13.709/2018 (Lei Geral de Proteção de Dados Pessoais - LGPD), sendo vedado o compartilhamento dos dados a outras pessoas físicas ou jurídicas, salvo nos casos legalmente excepcionados.</w:t>
      </w:r>
    </w:p>
    <w:p>
      <w:pPr>
        <w:pStyle w:val="Normal"/>
        <w:jc w:val="both"/>
        <w:rPr>
          <w:rFonts w:ascii="Calibri" w:hAnsi="Calibri"/>
          <w:color w:val="auto"/>
          <w:sz w:val="24"/>
          <w:szCs w:val="24"/>
        </w:rPr>
      </w:pPr>
      <w:r>
        <w:rPr>
          <w:rFonts w:ascii="Calibri" w:hAnsi="Calibri"/>
          <w:color w:val="auto"/>
          <w:sz w:val="24"/>
          <w:szCs w:val="24"/>
        </w:rPr>
      </w:r>
    </w:p>
    <w:p>
      <w:pPr>
        <w:pStyle w:val="Normal"/>
        <w:jc w:val="both"/>
        <w:rPr>
          <w:rFonts w:ascii="Calibri" w:hAnsi="Calibri"/>
          <w:color w:val="auto"/>
          <w:sz w:val="24"/>
          <w:szCs w:val="24"/>
        </w:rPr>
      </w:pPr>
      <w:r>
        <w:rPr>
          <w:rFonts w:ascii="Calibri" w:hAnsi="Calibri"/>
          <w:color w:val="auto"/>
          <w:sz w:val="24"/>
          <w:szCs w:val="24"/>
        </w:rPr>
        <w:t>4.3. As partes responderão administrativa e judicialmente caso ocorram danos patrimoniais, morais, individuais ou coletivos, aos titulares de dados pessoais tratados em decorrência da execução deste instrumento, por inobservância à Lei Geral de Proteção de Dados Pessoais.</w:t>
      </w:r>
    </w:p>
    <w:p>
      <w:pPr>
        <w:pStyle w:val="Normal"/>
        <w:jc w:val="both"/>
        <w:rPr>
          <w:rFonts w:ascii="Calibri" w:hAnsi="Calibri"/>
          <w:color w:val="auto"/>
          <w:sz w:val="24"/>
          <w:szCs w:val="24"/>
        </w:rPr>
      </w:pPr>
      <w:r>
        <w:rPr>
          <w:rFonts w:ascii="Calibri" w:hAnsi="Calibri"/>
          <w:color w:val="auto"/>
          <w:sz w:val="24"/>
          <w:szCs w:val="24"/>
        </w:rPr>
      </w:r>
    </w:p>
    <w:p>
      <w:pPr>
        <w:pStyle w:val="Normal"/>
        <w:jc w:val="both"/>
        <w:rPr>
          <w:rFonts w:ascii="Calibri" w:hAnsi="Calibri"/>
          <w:color w:val="auto"/>
          <w:sz w:val="24"/>
          <w:szCs w:val="24"/>
        </w:rPr>
      </w:pPr>
      <w:r>
        <w:rPr>
          <w:rFonts w:ascii="Calibri" w:hAnsi="Calibri"/>
          <w:color w:val="auto"/>
          <w:sz w:val="24"/>
          <w:szCs w:val="24"/>
        </w:rPr>
        <w:t>4.4. As partes declaram que têm ciência da existência da Lei Geral de Proteção de Dados Pessoais e se comprometem a adequar todos os procedimentos internos ao disposto na legislação com o intuito de proteger os dados pessoais compartilhados entre si.</w:t>
      </w:r>
    </w:p>
    <w:p>
      <w:pPr>
        <w:pStyle w:val="Normal"/>
        <w:jc w:val="both"/>
        <w:rPr>
          <w:rFonts w:ascii="Calibri" w:hAnsi="Calibri"/>
          <w:color w:val="auto"/>
          <w:sz w:val="24"/>
          <w:szCs w:val="24"/>
        </w:rPr>
      </w:pPr>
      <w:r>
        <w:rPr>
          <w:rFonts w:ascii="Calibri" w:hAnsi="Calibri"/>
          <w:color w:val="auto"/>
          <w:sz w:val="24"/>
          <w:szCs w:val="24"/>
        </w:rPr>
        <w:t xml:space="preserve"> </w:t>
      </w:r>
    </w:p>
    <w:p>
      <w:pPr>
        <w:pStyle w:val="Normal"/>
        <w:jc w:val="both"/>
        <w:rPr>
          <w:rFonts w:ascii="Calibri" w:hAnsi="Calibri"/>
          <w:color w:val="auto"/>
          <w:sz w:val="24"/>
          <w:szCs w:val="24"/>
        </w:rPr>
      </w:pPr>
      <w:r>
        <w:rPr>
          <w:rFonts w:ascii="Calibri" w:hAnsi="Calibri"/>
          <w:color w:val="auto"/>
          <w:sz w:val="24"/>
          <w:szCs w:val="24"/>
        </w:rPr>
        <w:t>4.5. As partes ficam obrigadas a comunicar uma à outra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Lei Geral de Proteção de Dados Pessoais.</w:t>
      </w:r>
    </w:p>
    <w:p>
      <w:pPr>
        <w:pStyle w:val="Normal"/>
        <w:jc w:val="both"/>
        <w:rPr>
          <w:rFonts w:ascii="Calibri" w:hAnsi="Calibri"/>
          <w:color w:val="auto"/>
          <w:sz w:val="24"/>
          <w:szCs w:val="24"/>
        </w:rPr>
      </w:pPr>
      <w:r>
        <w:rPr>
          <w:rFonts w:ascii="Calibri" w:hAnsi="Calibri"/>
          <w:color w:val="auto"/>
          <w:sz w:val="24"/>
          <w:szCs w:val="24"/>
        </w:rPr>
      </w:r>
    </w:p>
    <w:p>
      <w:pPr>
        <w:pStyle w:val="Normal"/>
        <w:jc w:val="both"/>
        <w:rPr>
          <w:rFonts w:ascii="Calibri" w:hAnsi="Calibri"/>
          <w:color w:val="auto"/>
          <w:sz w:val="24"/>
          <w:szCs w:val="24"/>
        </w:rPr>
      </w:pPr>
      <w:r>
        <w:rPr>
          <w:rFonts w:ascii="Calibri" w:hAnsi="Calibri"/>
          <w:color w:val="auto"/>
          <w:sz w:val="24"/>
          <w:szCs w:val="24"/>
        </w:rPr>
        <w:t>4.6. As partes deverão manter registro do tratamento de dados pessoais realizados no âmbito da execução deste instrumento e providenciar o descarte desses dados quando cessar a necessidade do tratamento.</w:t>
      </w:r>
    </w:p>
    <w:p>
      <w:pPr>
        <w:pStyle w:val="Normal"/>
        <w:jc w:val="both"/>
        <w:rPr>
          <w:rFonts w:ascii="Calibri" w:hAnsi="Calibri"/>
          <w:color w:val="auto"/>
          <w:sz w:val="24"/>
          <w:szCs w:val="24"/>
        </w:rPr>
      </w:pPr>
      <w:r>
        <w:rPr>
          <w:rFonts w:ascii="Calibri" w:hAnsi="Calibri"/>
          <w:color w:val="auto"/>
          <w:sz w:val="24"/>
          <w:szCs w:val="24"/>
        </w:rPr>
      </w:r>
    </w:p>
    <w:p>
      <w:pPr>
        <w:pStyle w:val="Normal"/>
        <w:jc w:val="both"/>
        <w:rPr>
          <w:rFonts w:ascii="Calibri" w:hAnsi="Calibri"/>
          <w:b/>
          <w:b/>
          <w:bCs/>
          <w:color w:val="auto"/>
          <w:sz w:val="24"/>
          <w:szCs w:val="24"/>
        </w:rPr>
      </w:pPr>
      <w:r>
        <w:rPr>
          <w:rFonts w:ascii="Calibri" w:hAnsi="Calibri"/>
          <w:b/>
          <w:bCs/>
          <w:color w:val="auto"/>
          <w:sz w:val="24"/>
          <w:szCs w:val="24"/>
        </w:rPr>
        <w:t>5. Do Compliance, Sigilo e Confidencialidade</w:t>
      </w:r>
    </w:p>
    <w:p>
      <w:pPr>
        <w:pStyle w:val="Normal"/>
        <w:jc w:val="both"/>
        <w:rPr>
          <w:rFonts w:ascii="Calibri" w:hAnsi="Calibri"/>
          <w:color w:val="auto"/>
          <w:sz w:val="24"/>
          <w:szCs w:val="24"/>
        </w:rPr>
      </w:pPr>
      <w:r>
        <w:rPr>
          <w:rFonts w:ascii="Calibri" w:hAnsi="Calibri"/>
          <w:color w:val="auto"/>
          <w:sz w:val="24"/>
          <w:szCs w:val="24"/>
        </w:rPr>
        <w:t xml:space="preserve"> </w:t>
      </w:r>
    </w:p>
    <w:p>
      <w:pPr>
        <w:pStyle w:val="Normal"/>
        <w:jc w:val="both"/>
        <w:rPr>
          <w:rFonts w:ascii="Calibri" w:hAnsi="Calibri"/>
          <w:color w:val="auto"/>
          <w:sz w:val="24"/>
          <w:szCs w:val="24"/>
        </w:rPr>
      </w:pPr>
      <w:r>
        <w:rPr>
          <w:rFonts w:ascii="Calibri" w:hAnsi="Calibri"/>
          <w:color w:val="auto"/>
          <w:sz w:val="24"/>
          <w:szCs w:val="24"/>
        </w:rPr>
        <w:t>5.1. Ambas as partes declaram que:</w:t>
      </w:r>
    </w:p>
    <w:p>
      <w:pPr>
        <w:pStyle w:val="Normal"/>
        <w:jc w:val="both"/>
        <w:rPr>
          <w:rFonts w:ascii="Calibri" w:hAnsi="Calibri"/>
          <w:color w:val="auto"/>
          <w:sz w:val="24"/>
          <w:szCs w:val="24"/>
        </w:rPr>
      </w:pPr>
      <w:r>
        <w:rPr>
          <w:rFonts w:ascii="Calibri" w:hAnsi="Calibri"/>
          <w:color w:val="auto"/>
          <w:sz w:val="24"/>
          <w:szCs w:val="24"/>
        </w:rPr>
      </w:r>
    </w:p>
    <w:p>
      <w:pPr>
        <w:pStyle w:val="Normal"/>
        <w:jc w:val="both"/>
        <w:rPr>
          <w:rFonts w:ascii="Calibri" w:hAnsi="Calibri"/>
          <w:color w:val="auto"/>
          <w:sz w:val="24"/>
          <w:szCs w:val="24"/>
        </w:rPr>
      </w:pPr>
      <w:r>
        <w:rPr>
          <w:rFonts w:ascii="Calibri" w:hAnsi="Calibri"/>
          <w:color w:val="auto"/>
          <w:sz w:val="24"/>
          <w:szCs w:val="24"/>
        </w:rPr>
        <w:t>a) Atendem aos requisitos gerais das leis anticorrupção vigentes no Brasil e no exterior, principalmente a Lei Anticorrupção brasileira no. 12.846/2013 e que suas atividades não incorrerão em risco de ter sua reputação afetada pela associação com práticas ilegais;</w:t>
      </w:r>
    </w:p>
    <w:p>
      <w:pPr>
        <w:pStyle w:val="Normal"/>
        <w:jc w:val="both"/>
        <w:rPr>
          <w:rFonts w:ascii="Calibri" w:hAnsi="Calibri"/>
          <w:color w:val="auto"/>
          <w:sz w:val="24"/>
          <w:szCs w:val="24"/>
        </w:rPr>
      </w:pPr>
      <w:r>
        <w:rPr>
          <w:rFonts w:ascii="Calibri" w:hAnsi="Calibri"/>
          <w:color w:val="auto"/>
          <w:sz w:val="24"/>
          <w:szCs w:val="24"/>
        </w:rPr>
      </w:r>
    </w:p>
    <w:p>
      <w:pPr>
        <w:pStyle w:val="Normal"/>
        <w:jc w:val="both"/>
        <w:rPr>
          <w:rFonts w:ascii="Calibri" w:hAnsi="Calibri"/>
          <w:color w:val="auto"/>
          <w:sz w:val="24"/>
          <w:szCs w:val="24"/>
        </w:rPr>
      </w:pPr>
      <w:r>
        <w:rPr>
          <w:rFonts w:ascii="Calibri" w:hAnsi="Calibri"/>
          <w:color w:val="auto"/>
          <w:sz w:val="24"/>
          <w:szCs w:val="24"/>
        </w:rPr>
        <w:t>b) Sob as penas da lei, estão cientes, conhecem e entendem os termos das leis anticorrupção brasileiras ou de quaisquer outras aplicáveis sobre o objeto do presente instrumento, comprometendo-se a abster-se de qualquer atividade que constitua uma violação das disposições destas regras Anticorrupção, por si e por seus administradores, diretores, funcionários e agentes, bem como seus sócios que venham a agir em seu nome;</w:t>
      </w:r>
    </w:p>
    <w:p>
      <w:pPr>
        <w:pStyle w:val="Normal"/>
        <w:jc w:val="both"/>
        <w:rPr>
          <w:rFonts w:ascii="Calibri" w:hAnsi="Calibri"/>
          <w:color w:val="auto"/>
          <w:sz w:val="24"/>
          <w:szCs w:val="24"/>
        </w:rPr>
      </w:pPr>
      <w:r>
        <w:rPr>
          <w:rFonts w:ascii="Calibri" w:hAnsi="Calibri"/>
          <w:color w:val="auto"/>
          <w:sz w:val="24"/>
          <w:szCs w:val="24"/>
        </w:rPr>
      </w:r>
    </w:p>
    <w:p>
      <w:pPr>
        <w:pStyle w:val="Normal"/>
        <w:jc w:val="both"/>
        <w:rPr>
          <w:rFonts w:ascii="Calibri" w:hAnsi="Calibri"/>
          <w:color w:val="auto"/>
          <w:sz w:val="24"/>
          <w:szCs w:val="24"/>
        </w:rPr>
      </w:pPr>
      <w:r>
        <w:rPr>
          <w:rFonts w:ascii="Calibri" w:hAnsi="Calibri"/>
          <w:color w:val="auto"/>
          <w:sz w:val="24"/>
          <w:szCs w:val="24"/>
        </w:rPr>
        <w:t xml:space="preserve">c) </w:t>
      </w:r>
      <w:r>
        <w:rPr>
          <w:rFonts w:ascii="Calibri" w:hAnsi="Calibri"/>
          <w:color w:val="000000"/>
          <w:sz w:val="24"/>
          <w:szCs w:val="24"/>
        </w:rPr>
        <w:t>obrigam-se a conduzir suas atividades</w:t>
      </w:r>
      <w:r>
        <w:rPr>
          <w:rFonts w:ascii="Calibri" w:hAnsi="Calibri"/>
          <w:color w:val="000000"/>
          <w:sz w:val="24"/>
          <w:szCs w:val="24"/>
        </w:rPr>
        <w:t>,</w:t>
      </w:r>
      <w:r>
        <w:rPr>
          <w:rFonts w:ascii="Calibri" w:hAnsi="Calibri"/>
          <w:color w:val="auto"/>
          <w:sz w:val="24"/>
          <w:szCs w:val="24"/>
        </w:rPr>
        <w:t xml:space="preserve"> durante a consecução do presente instrumento, de forma ética e em conformidade com os preceitos legais aplicáveis;</w:t>
      </w:r>
    </w:p>
    <w:p>
      <w:pPr>
        <w:pStyle w:val="Normal"/>
        <w:jc w:val="both"/>
        <w:rPr>
          <w:rFonts w:ascii="Calibri" w:hAnsi="Calibri"/>
          <w:color w:val="auto"/>
          <w:sz w:val="24"/>
          <w:szCs w:val="24"/>
        </w:rPr>
      </w:pPr>
      <w:r>
        <w:rPr>
          <w:rFonts w:ascii="Calibri" w:hAnsi="Calibri"/>
          <w:color w:val="auto"/>
          <w:sz w:val="24"/>
          <w:szCs w:val="24"/>
        </w:rPr>
      </w:r>
    </w:p>
    <w:p>
      <w:pPr>
        <w:pStyle w:val="Normal"/>
        <w:jc w:val="both"/>
        <w:rPr>
          <w:rFonts w:ascii="Calibri" w:hAnsi="Calibri"/>
          <w:color w:val="auto"/>
          <w:sz w:val="24"/>
          <w:szCs w:val="24"/>
        </w:rPr>
      </w:pPr>
      <w:r>
        <w:rPr>
          <w:rFonts w:ascii="Calibri" w:hAnsi="Calibri"/>
          <w:color w:val="auto"/>
          <w:sz w:val="24"/>
          <w:szCs w:val="24"/>
        </w:rPr>
        <w:t>d) Na execução deste instrumento nenhuma das partes, nem qualquer de seus diretores, empregados, agentes ou sócios agindo em seu nome, devem dar, oferecer, pagar, prometer pagar, ou autorizar o pagamento de, direta ou indiretamente, qualquer dinheiro ou qualquer coisa de valor a qualquer autoridade governamental, consultores, representantes, parceiros, ou quaisquer terceiros, com a finalidade de influenciar qualquer ato ou decisão do agente ou do governo, ou para assegurar qualquer vantagem indevida, ou direcionar negócios para qualquer pessoa, e que violem as regras Anticorrupção;</w:t>
      </w:r>
    </w:p>
    <w:p>
      <w:pPr>
        <w:pStyle w:val="Normal"/>
        <w:jc w:val="both"/>
        <w:rPr>
          <w:rFonts w:ascii="Calibri" w:hAnsi="Calibri"/>
          <w:color w:val="auto"/>
          <w:sz w:val="24"/>
          <w:szCs w:val="24"/>
        </w:rPr>
      </w:pPr>
      <w:r>
        <w:rPr>
          <w:rFonts w:ascii="Calibri" w:hAnsi="Calibri"/>
          <w:color w:val="auto"/>
          <w:sz w:val="24"/>
          <w:szCs w:val="24"/>
        </w:rPr>
      </w:r>
    </w:p>
    <w:p>
      <w:pPr>
        <w:pStyle w:val="Normal"/>
        <w:jc w:val="both"/>
        <w:rPr>
          <w:rFonts w:ascii="Calibri" w:hAnsi="Calibri"/>
          <w:color w:val="auto"/>
          <w:sz w:val="24"/>
          <w:szCs w:val="24"/>
        </w:rPr>
      </w:pPr>
      <w:r>
        <w:rPr>
          <w:rFonts w:ascii="Calibri" w:hAnsi="Calibri"/>
          <w:color w:val="auto"/>
          <w:sz w:val="24"/>
          <w:szCs w:val="24"/>
        </w:rPr>
        <w:t>e) Neste ato não violaram, violam ou violarão as regras Anticorrupção; têm ciência que qualquer atividade que viole as regras Anticorrupção é proibida e que conhecem as consequências possíveis de tal violação, inclusive a possibilidade de rescisão motivada imediata do presente instrumento, independentemente de qualquer notificação, observadas as penalidades previstas.</w:t>
      </w:r>
    </w:p>
    <w:p>
      <w:pPr>
        <w:pStyle w:val="Normal"/>
        <w:jc w:val="both"/>
        <w:rPr>
          <w:rFonts w:ascii="Calibri" w:hAnsi="Calibri"/>
          <w:color w:val="auto"/>
          <w:sz w:val="24"/>
          <w:szCs w:val="24"/>
        </w:rPr>
      </w:pPr>
      <w:r>
        <w:rPr>
          <w:rFonts w:ascii="Calibri" w:hAnsi="Calibri"/>
          <w:color w:val="auto"/>
          <w:sz w:val="24"/>
          <w:szCs w:val="24"/>
        </w:rPr>
      </w:r>
    </w:p>
    <w:p>
      <w:pPr>
        <w:pStyle w:val="Normal"/>
        <w:jc w:val="both"/>
        <w:rPr>
          <w:rFonts w:ascii="Calibri" w:hAnsi="Calibri"/>
          <w:color w:val="auto"/>
          <w:sz w:val="24"/>
          <w:szCs w:val="24"/>
        </w:rPr>
      </w:pPr>
      <w:r>
        <w:rPr>
          <w:rFonts w:ascii="Calibri" w:hAnsi="Calibri"/>
          <w:color w:val="auto"/>
          <w:sz w:val="24"/>
          <w:szCs w:val="24"/>
        </w:rPr>
        <w:t>f) Ambas as partes, seus administradores, empregados, prepostos e comitentes se comprometem a manter sigilo sobre as informações trocadas e geradas durante a execução das atividades do presente instrumento pelo período de 10 (dez) anos, e a não revelar, nem transmitir, direta ou indiretamente, as informações trocadas a terceiros que não estejam envolvidos no desenvolvimento do objeto deste instrumento.</w:t>
      </w:r>
    </w:p>
    <w:p>
      <w:pPr>
        <w:pStyle w:val="Normal"/>
        <w:jc w:val="both"/>
        <w:rPr>
          <w:rFonts w:ascii="Calibri" w:hAnsi="Calibri"/>
          <w:color w:val="auto"/>
          <w:sz w:val="24"/>
          <w:szCs w:val="24"/>
        </w:rPr>
      </w:pPr>
      <w:r>
        <w:rPr>
          <w:rFonts w:ascii="Calibri" w:hAnsi="Calibri"/>
          <w:color w:val="auto"/>
          <w:sz w:val="24"/>
          <w:szCs w:val="24"/>
        </w:rPr>
      </w:r>
    </w:p>
    <w:p>
      <w:pPr>
        <w:pStyle w:val="Normal"/>
        <w:jc w:val="both"/>
        <w:rPr>
          <w:rFonts w:ascii="Calibri" w:hAnsi="Calibri"/>
          <w:color w:val="auto"/>
          <w:sz w:val="24"/>
          <w:szCs w:val="24"/>
        </w:rPr>
      </w:pPr>
      <w:r>
        <w:rPr>
          <w:rFonts w:ascii="Calibri" w:hAnsi="Calibri"/>
          <w:color w:val="auto"/>
          <w:sz w:val="24"/>
          <w:szCs w:val="24"/>
        </w:rPr>
        <w:t>g) O descumprimento da obrigação de sigilo e confidencialidade importará:</w:t>
      </w:r>
    </w:p>
    <w:p>
      <w:pPr>
        <w:pStyle w:val="Normal"/>
        <w:jc w:val="both"/>
        <w:rPr>
          <w:rFonts w:ascii="Calibri" w:hAnsi="Calibri"/>
          <w:color w:val="auto"/>
          <w:sz w:val="24"/>
          <w:szCs w:val="24"/>
        </w:rPr>
      </w:pPr>
      <w:r>
        <w:rPr>
          <w:rFonts w:ascii="Calibri" w:hAnsi="Calibri"/>
          <w:color w:val="auto"/>
          <w:sz w:val="24"/>
          <w:szCs w:val="24"/>
        </w:rPr>
      </w:r>
    </w:p>
    <w:p>
      <w:pPr>
        <w:pStyle w:val="Normal"/>
        <w:ind w:left="708" w:hanging="0"/>
        <w:jc w:val="both"/>
        <w:rPr>
          <w:rFonts w:ascii="Calibri" w:hAnsi="Calibri"/>
          <w:color w:val="auto"/>
          <w:sz w:val="24"/>
          <w:szCs w:val="24"/>
        </w:rPr>
      </w:pPr>
      <w:r>
        <w:rPr>
          <w:rFonts w:ascii="Calibri" w:hAnsi="Calibri"/>
          <w:color w:val="auto"/>
          <w:sz w:val="24"/>
          <w:szCs w:val="24"/>
        </w:rPr>
        <w:t>I - Na extinção do presente instrumento, se ainda vigente, dentro das formas nele permitidas;</w:t>
      </w:r>
    </w:p>
    <w:p>
      <w:pPr>
        <w:pStyle w:val="Normal"/>
        <w:ind w:left="708" w:hanging="0"/>
        <w:jc w:val="both"/>
        <w:rPr>
          <w:rFonts w:ascii="Calibri" w:hAnsi="Calibri"/>
          <w:color w:val="auto"/>
          <w:sz w:val="24"/>
          <w:szCs w:val="24"/>
        </w:rPr>
      </w:pPr>
      <w:r>
        <w:rPr>
          <w:rFonts w:ascii="Calibri" w:hAnsi="Calibri"/>
          <w:color w:val="auto"/>
          <w:sz w:val="24"/>
          <w:szCs w:val="24"/>
        </w:rPr>
        <w:t>II - Em qualquer hipótese, na responsabilidade por perdas e danos;</w:t>
      </w:r>
    </w:p>
    <w:p>
      <w:pPr>
        <w:pStyle w:val="Normal"/>
        <w:ind w:left="708" w:hanging="0"/>
        <w:jc w:val="both"/>
        <w:rPr>
          <w:rFonts w:ascii="Calibri" w:hAnsi="Calibri"/>
          <w:color w:val="auto"/>
          <w:sz w:val="24"/>
          <w:szCs w:val="24"/>
        </w:rPr>
      </w:pPr>
      <w:r>
        <w:rPr>
          <w:rFonts w:ascii="Calibri" w:hAnsi="Calibri"/>
          <w:color w:val="auto"/>
          <w:sz w:val="24"/>
          <w:szCs w:val="24"/>
        </w:rPr>
        <w:t>III - A adoção dos remédios jurídicos e sanções cabíveis por força da legislação pertinente.</w:t>
      </w:r>
    </w:p>
    <w:p>
      <w:pPr>
        <w:pStyle w:val="Normal"/>
        <w:jc w:val="both"/>
        <w:rPr>
          <w:rFonts w:ascii="Calibri" w:hAnsi="Calibri"/>
          <w:color w:val="auto"/>
          <w:sz w:val="24"/>
          <w:szCs w:val="24"/>
        </w:rPr>
      </w:pPr>
      <w:r>
        <w:rPr>
          <w:rFonts w:ascii="Calibri" w:hAnsi="Calibri"/>
          <w:color w:val="auto"/>
          <w:sz w:val="24"/>
          <w:szCs w:val="24"/>
        </w:rPr>
      </w:r>
    </w:p>
    <w:p>
      <w:pPr>
        <w:pStyle w:val="Normal"/>
        <w:jc w:val="both"/>
        <w:rPr>
          <w:rFonts w:ascii="Calibri" w:hAnsi="Calibri"/>
          <w:color w:val="auto"/>
          <w:sz w:val="24"/>
          <w:szCs w:val="24"/>
        </w:rPr>
      </w:pPr>
      <w:r>
        <w:rPr>
          <w:rFonts w:ascii="Calibri" w:hAnsi="Calibri"/>
          <w:color w:val="auto"/>
          <w:sz w:val="24"/>
          <w:szCs w:val="24"/>
        </w:rPr>
        <w:t>h) Só serão legítimos como motivos de exceção à obrigatoriedade de sigilo, a ocorrência de descumprimento nas seguintes hipóteses:</w:t>
      </w:r>
    </w:p>
    <w:p>
      <w:pPr>
        <w:pStyle w:val="Normal"/>
        <w:jc w:val="both"/>
        <w:rPr>
          <w:rFonts w:ascii="Calibri" w:hAnsi="Calibri"/>
          <w:color w:val="auto"/>
          <w:sz w:val="24"/>
          <w:szCs w:val="24"/>
        </w:rPr>
      </w:pPr>
      <w:r>
        <w:rPr>
          <w:rFonts w:ascii="Calibri" w:hAnsi="Calibri"/>
          <w:color w:val="auto"/>
          <w:sz w:val="24"/>
          <w:szCs w:val="24"/>
        </w:rPr>
      </w:r>
    </w:p>
    <w:p>
      <w:pPr>
        <w:pStyle w:val="Normal"/>
        <w:ind w:left="708" w:hanging="0"/>
        <w:jc w:val="both"/>
        <w:rPr>
          <w:rFonts w:ascii="Calibri" w:hAnsi="Calibri"/>
          <w:color w:val="auto"/>
          <w:sz w:val="24"/>
          <w:szCs w:val="24"/>
        </w:rPr>
      </w:pPr>
      <w:r>
        <w:rPr>
          <w:rFonts w:ascii="Calibri" w:hAnsi="Calibri"/>
          <w:color w:val="auto"/>
          <w:sz w:val="24"/>
          <w:szCs w:val="24"/>
        </w:rPr>
        <w:t>I - A informação já era conhecida anteriormente às tratativas do negócio jurídico;</w:t>
      </w:r>
    </w:p>
    <w:p>
      <w:pPr>
        <w:pStyle w:val="Normal"/>
        <w:ind w:left="708" w:hanging="0"/>
        <w:jc w:val="both"/>
        <w:rPr>
          <w:rFonts w:ascii="Calibri" w:hAnsi="Calibri"/>
          <w:color w:val="auto"/>
          <w:sz w:val="24"/>
          <w:szCs w:val="24"/>
        </w:rPr>
      </w:pPr>
      <w:r>
        <w:rPr>
          <w:rFonts w:ascii="Calibri" w:hAnsi="Calibri"/>
          <w:color w:val="auto"/>
          <w:sz w:val="24"/>
          <w:szCs w:val="24"/>
        </w:rPr>
      </w:r>
    </w:p>
    <w:p>
      <w:pPr>
        <w:pStyle w:val="Normal"/>
        <w:ind w:left="708" w:hanging="0"/>
        <w:jc w:val="both"/>
        <w:rPr>
          <w:rFonts w:ascii="Calibri" w:hAnsi="Calibri"/>
          <w:color w:val="auto"/>
          <w:sz w:val="24"/>
          <w:szCs w:val="24"/>
        </w:rPr>
      </w:pPr>
      <w:r>
        <w:rPr>
          <w:rFonts w:ascii="Calibri" w:hAnsi="Calibri"/>
          <w:color w:val="auto"/>
          <w:sz w:val="24"/>
          <w:szCs w:val="24"/>
        </w:rPr>
        <w:t>II - Houve prévia e expressa anuência das partes, quanto à liberação da obrigação de sigilo e confidencialidade;</w:t>
      </w:r>
    </w:p>
    <w:p>
      <w:pPr>
        <w:pStyle w:val="Normal"/>
        <w:ind w:left="708" w:hanging="0"/>
        <w:jc w:val="both"/>
        <w:rPr>
          <w:rFonts w:ascii="Calibri" w:hAnsi="Calibri"/>
          <w:color w:val="auto"/>
          <w:sz w:val="24"/>
          <w:szCs w:val="24"/>
        </w:rPr>
      </w:pPr>
      <w:r>
        <w:rPr>
          <w:rFonts w:ascii="Calibri" w:hAnsi="Calibri"/>
          <w:color w:val="auto"/>
          <w:sz w:val="24"/>
          <w:szCs w:val="24"/>
        </w:rPr>
      </w:r>
    </w:p>
    <w:p>
      <w:pPr>
        <w:pStyle w:val="Normal"/>
        <w:ind w:left="708" w:hanging="0"/>
        <w:jc w:val="both"/>
        <w:rPr>
          <w:rFonts w:ascii="Calibri" w:hAnsi="Calibri"/>
          <w:color w:val="auto"/>
          <w:sz w:val="24"/>
          <w:szCs w:val="24"/>
        </w:rPr>
      </w:pPr>
      <w:r>
        <w:rPr>
          <w:rFonts w:ascii="Calibri" w:hAnsi="Calibri"/>
          <w:color w:val="auto"/>
          <w:sz w:val="24"/>
          <w:szCs w:val="24"/>
        </w:rPr>
        <w:t>III - A informação foi comprovadamente obtida por outra fonte, de forma legal e legítima, independentemente do presente instrumento jurídico;</w:t>
      </w:r>
    </w:p>
    <w:p>
      <w:pPr>
        <w:pStyle w:val="Normal"/>
        <w:ind w:left="708" w:hanging="0"/>
        <w:jc w:val="both"/>
        <w:rPr>
          <w:rFonts w:ascii="Calibri" w:hAnsi="Calibri"/>
          <w:color w:val="auto"/>
          <w:sz w:val="24"/>
          <w:szCs w:val="24"/>
        </w:rPr>
      </w:pPr>
      <w:r>
        <w:rPr>
          <w:rFonts w:ascii="Calibri" w:hAnsi="Calibri"/>
          <w:color w:val="auto"/>
          <w:sz w:val="24"/>
          <w:szCs w:val="24"/>
        </w:rPr>
      </w:r>
    </w:p>
    <w:p>
      <w:pPr>
        <w:pStyle w:val="Normal"/>
        <w:ind w:left="708" w:hanging="0"/>
        <w:jc w:val="both"/>
        <w:rPr>
          <w:rFonts w:ascii="Calibri" w:hAnsi="Calibri"/>
          <w:color w:val="auto"/>
          <w:sz w:val="24"/>
          <w:szCs w:val="24"/>
        </w:rPr>
      </w:pPr>
      <w:r>
        <w:rPr>
          <w:rFonts w:ascii="Calibri" w:hAnsi="Calibri"/>
          <w:color w:val="auto"/>
          <w:sz w:val="24"/>
          <w:szCs w:val="24"/>
        </w:rPr>
        <w:t>IV - Determinação judicial e/ou governamental para conhecimento das informações, desde que notificada, previamente à liberação, e sendo requerido segredo de justiça no seu trato judicial e/ou administrativo.</w:t>
      </w:r>
    </w:p>
    <w:p>
      <w:pPr>
        <w:pStyle w:val="Normal"/>
        <w:jc w:val="both"/>
        <w:rPr>
          <w:rFonts w:ascii="Calibri" w:hAnsi="Calibri"/>
          <w:color w:val="auto"/>
          <w:sz w:val="24"/>
          <w:szCs w:val="24"/>
        </w:rPr>
      </w:pPr>
      <w:r>
        <w:rPr>
          <w:rFonts w:ascii="Calibri" w:hAnsi="Calibri"/>
          <w:color w:val="auto"/>
          <w:sz w:val="24"/>
          <w:szCs w:val="24"/>
        </w:rPr>
      </w:r>
    </w:p>
    <w:p>
      <w:pPr>
        <w:pStyle w:val="Normal"/>
        <w:rPr/>
      </w:pPr>
      <w:r>
        <w:rPr>
          <w:rFonts w:ascii="Calibri" w:hAnsi="Calibri"/>
          <w:b/>
          <w:sz w:val="24"/>
          <w:szCs w:val="24"/>
        </w:rPr>
        <w:t>6. Das disposições gerais:</w:t>
      </w:r>
    </w:p>
    <w:p>
      <w:pPr>
        <w:pStyle w:val="Normal"/>
        <w:jc w:val="both"/>
        <w:rPr/>
      </w:pPr>
      <w:r>
        <w:rPr>
          <w:rFonts w:ascii="Calibri" w:hAnsi="Calibri"/>
          <w:sz w:val="24"/>
          <w:szCs w:val="24"/>
        </w:rPr>
        <w:br/>
        <w:t>6.1. Este convênio terá vigência a partir de sua publicação e poderá ser revisto, alterado ou encerrado a qualquer tempo, mediante solicitação prévia de qualquer dos conveniados com antecedência de 30 dias.</w:t>
      </w:r>
    </w:p>
    <w:p>
      <w:pPr>
        <w:pStyle w:val="Normal"/>
        <w:jc w:val="both"/>
        <w:rPr>
          <w:rFonts w:ascii="Calibri" w:hAnsi="Calibri"/>
          <w:sz w:val="24"/>
          <w:szCs w:val="24"/>
        </w:rPr>
      </w:pPr>
      <w:r>
        <w:rPr>
          <w:rFonts w:ascii="Calibri" w:hAnsi="Calibri"/>
          <w:sz w:val="24"/>
          <w:szCs w:val="24"/>
        </w:rPr>
        <w:br/>
      </w:r>
    </w:p>
    <w:p>
      <w:pPr>
        <w:pStyle w:val="Normal"/>
        <w:jc w:val="right"/>
        <w:rPr/>
      </w:pPr>
      <w:r>
        <w:rPr>
          <w:rFonts w:cs="Arial" w:ascii="Calibri" w:hAnsi="Calibri"/>
          <w:sz w:val="24"/>
          <w:szCs w:val="24"/>
        </w:rPr>
        <w:t>Curitiba, _____________ de _____________ de _________.</w:t>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r>
    </w:p>
    <w:p>
      <w:pPr>
        <w:pStyle w:val="Normal"/>
        <w:rPr>
          <w:rFonts w:ascii="Calibri" w:hAnsi="Calibri"/>
          <w:sz w:val="24"/>
          <w:szCs w:val="24"/>
        </w:rPr>
      </w:pPr>
      <w:r>
        <w:rPr>
          <w:rFonts w:ascii="Calibri" w:hAnsi="Calibri"/>
          <w:sz w:val="24"/>
          <w:szCs w:val="24"/>
        </w:rPr>
      </w:r>
    </w:p>
    <w:p>
      <w:pPr>
        <w:pStyle w:val="Normal"/>
        <w:tabs>
          <w:tab w:val="clear" w:pos="708"/>
          <w:tab w:val="left" w:pos="5340" w:leader="none"/>
        </w:tabs>
        <w:rPr/>
      </w:pPr>
      <w:r>
        <w:rPr>
          <w:rFonts w:ascii="Calibri" w:hAnsi="Calibri"/>
          <w:sz w:val="24"/>
          <w:szCs w:val="24"/>
        </w:rPr>
        <w:t>____________________</w:t>
        <w:tab/>
        <w:t>_______________________</w:t>
      </w:r>
    </w:p>
    <w:p>
      <w:pPr>
        <w:pStyle w:val="Normal"/>
        <w:rPr/>
      </w:pPr>
      <w:r>
        <w:rPr>
          <w:rFonts w:ascii="Calibri" w:hAnsi="Calibri"/>
          <w:sz w:val="24"/>
          <w:szCs w:val="24"/>
        </w:rPr>
        <w:t>Márcio Augusto Antoniassi                                                    Responsável pela IES</w:t>
      </w:r>
    </w:p>
    <w:p>
      <w:pPr>
        <w:pStyle w:val="Normal"/>
        <w:jc w:val="both"/>
        <w:rPr/>
      </w:pPr>
      <w:r>
        <w:rPr>
          <w:rFonts w:ascii="Calibri" w:hAnsi="Calibri"/>
          <w:sz w:val="24"/>
          <w:szCs w:val="24"/>
        </w:rPr>
        <w:t xml:space="preserve">Presidente CRF-PR                                                                    Nome: </w:t>
      </w:r>
    </w:p>
    <w:p>
      <w:pPr>
        <w:pStyle w:val="Normal"/>
        <w:rPr>
          <w:rFonts w:ascii="Calibri" w:hAnsi="Calibri"/>
          <w:sz w:val="24"/>
          <w:szCs w:val="24"/>
        </w:rPr>
      </w:pPr>
      <w:r>
        <w:rPr>
          <w:rFonts w:ascii="Calibri" w:hAnsi="Calibri"/>
          <w:sz w:val="24"/>
          <w:szCs w:val="24"/>
        </w:rPr>
      </w:r>
      <w:bookmarkStart w:id="0" w:name="_GoBack"/>
      <w:bookmarkStart w:id="1" w:name="_GoBack"/>
      <w:bookmarkEnd w:id="1"/>
    </w:p>
    <w:p>
      <w:pPr>
        <w:pStyle w:val="Normal"/>
        <w:spacing w:lineRule="auto" w:line="480"/>
        <w:rPr/>
      </w:pPr>
      <w:r>
        <w:rPr/>
      </w:r>
    </w:p>
    <w:sectPr>
      <w:headerReference w:type="default" r:id="rId2"/>
      <w:footerReference w:type="default" r:id="rId3"/>
      <w:type w:val="nextPage"/>
      <w:pgSz w:w="11906" w:h="16838"/>
      <w:pgMar w:left="1701" w:right="1701" w:header="284" w:top="1417" w:footer="1417" w:bottom="1931"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drawing>
        <wp:anchor behindDoc="1" distT="0" distB="0" distL="0" distR="0" simplePos="0" locked="0" layoutInCell="0" allowOverlap="1" relativeHeight="13">
          <wp:simplePos x="0" y="0"/>
          <wp:positionH relativeFrom="column">
            <wp:align>center</wp:align>
          </wp:positionH>
          <wp:positionV relativeFrom="paragraph">
            <wp:posOffset>635</wp:posOffset>
          </wp:positionV>
          <wp:extent cx="1718945" cy="567690"/>
          <wp:effectExtent l="0" t="0" r="0" b="0"/>
          <wp:wrapSquare wrapText="largest"/>
          <wp:docPr id="3"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
                  <pic:cNvPicPr>
                    <a:picLocks noChangeAspect="1" noChangeArrowheads="1"/>
                  </pic:cNvPicPr>
                </pic:nvPicPr>
                <pic:blipFill>
                  <a:blip r:embed="rId1"/>
                  <a:stretch>
                    <a:fillRect/>
                  </a:stretch>
                </pic:blipFill>
                <pic:spPr bwMode="auto">
                  <a:xfrm>
                    <a:off x="0" y="0"/>
                    <a:ext cx="1718945" cy="56769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1364"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1884"/>
      <w:gridCol w:w="7579"/>
      <w:gridCol w:w="1901"/>
    </w:tblGrid>
    <w:tr>
      <w:trPr>
        <w:trHeight w:val="1859" w:hRule="atLeast"/>
      </w:trPr>
      <w:tc>
        <w:tcPr>
          <w:tcW w:w="1884" w:type="dxa"/>
          <w:tcBorders>
            <w:bottom w:val="single" w:sz="18" w:space="0" w:color="000000"/>
          </w:tcBorders>
          <w:shd w:color="auto" w:fill="auto" w:val="clear"/>
        </w:tcPr>
        <w:p>
          <w:pPr>
            <w:pStyle w:val="Normal"/>
            <w:widowControl w:val="false"/>
            <w:tabs>
              <w:tab w:val="clear" w:pos="708"/>
              <w:tab w:val="center" w:pos="834" w:leader="none"/>
            </w:tabs>
            <w:snapToGrid w:val="false"/>
            <w:rPr/>
          </w:pPr>
          <w:r>
            <w:rPr>
              <w:color w:val="FFFFFF"/>
              <w:sz w:val="2"/>
            </w:rPr>
            <w:drawing>
              <wp:anchor behindDoc="1" distT="0" distB="0" distL="0" distR="0" simplePos="0" locked="0" layoutInCell="1" allowOverlap="1" relativeHeight="9">
                <wp:simplePos x="0" y="0"/>
                <wp:positionH relativeFrom="column">
                  <wp:align>center</wp:align>
                </wp:positionH>
                <wp:positionV relativeFrom="paragraph">
                  <wp:posOffset>635</wp:posOffset>
                </wp:positionV>
                <wp:extent cx="1056005" cy="1231900"/>
                <wp:effectExtent l="0" t="0" r="0" b="0"/>
                <wp:wrapSquare wrapText="largest"/>
                <wp:docPr id="1"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
                        <pic:cNvPicPr>
                          <a:picLocks noChangeAspect="1" noChangeArrowheads="1"/>
                        </pic:cNvPicPr>
                      </pic:nvPicPr>
                      <pic:blipFill>
                        <a:blip r:embed="rId1"/>
                        <a:srcRect l="-39" t="-33" r="-39" b="-33"/>
                        <a:stretch>
                          <a:fillRect/>
                        </a:stretch>
                      </pic:blipFill>
                      <pic:spPr bwMode="auto">
                        <a:xfrm>
                          <a:off x="0" y="0"/>
                          <a:ext cx="1056005" cy="1231900"/>
                        </a:xfrm>
                        <a:prstGeom prst="rect">
                          <a:avLst/>
                        </a:prstGeom>
                      </pic:spPr>
                    </pic:pic>
                  </a:graphicData>
                </a:graphic>
              </wp:anchor>
            </w:drawing>
          </w:r>
          <w:r>
            <w:rPr>
              <w:color w:val="FFFFFF"/>
              <w:sz w:val="2"/>
            </w:rPr>
            <w:t>a</w:t>
          </w:r>
        </w:p>
      </w:tc>
      <w:tc>
        <w:tcPr>
          <w:tcW w:w="7579" w:type="dxa"/>
          <w:tcBorders>
            <w:bottom w:val="single" w:sz="18" w:space="0" w:color="000000"/>
          </w:tcBorders>
          <w:shd w:color="auto" w:fill="auto" w:val="clear"/>
        </w:tcPr>
        <w:p>
          <w:pPr>
            <w:pStyle w:val="Normal"/>
            <w:widowControl w:val="false"/>
            <w:snapToGrid w:val="false"/>
            <w:jc w:val="center"/>
            <w:rPr>
              <w:rFonts w:ascii="Arial" w:hAnsi="Arial" w:cs="Arial"/>
              <w:b/>
              <w:b/>
              <w:bCs/>
              <w:sz w:val="22"/>
            </w:rPr>
          </w:pPr>
          <w:r>
            <w:rPr>
              <w:rFonts w:cs="Arial" w:ascii="Arial" w:hAnsi="Arial"/>
              <w:b/>
              <w:bCs/>
              <w:sz w:val="22"/>
            </w:rPr>
          </w:r>
        </w:p>
        <w:p>
          <w:pPr>
            <w:pStyle w:val="Normal"/>
            <w:widowControl w:val="false"/>
            <w:jc w:val="center"/>
            <w:rPr>
              <w:rFonts w:ascii="Calibri" w:hAnsi="Calibri" w:cs="Calibri"/>
              <w:b/>
              <w:b/>
              <w:bCs/>
              <w:sz w:val="22"/>
            </w:rPr>
          </w:pPr>
          <w:r>
            <w:rPr>
              <w:rFonts w:cs="Calibri" w:ascii="Calibri" w:hAnsi="Calibri"/>
              <w:b/>
              <w:bCs/>
              <w:sz w:val="22"/>
            </w:rPr>
          </w:r>
        </w:p>
        <w:p>
          <w:pPr>
            <w:pStyle w:val="Normal"/>
            <w:widowControl w:val="false"/>
            <w:jc w:val="center"/>
            <w:rPr/>
          </w:pPr>
          <w:r>
            <w:rPr>
              <w:rFonts w:cs="Calibri" w:ascii="Calibri" w:hAnsi="Calibri"/>
              <w:bCs/>
            </w:rPr>
            <w:t>CONSELHO FEDERAL DE FARMÁCIA – CFF</w:t>
          </w:r>
        </w:p>
        <w:p>
          <w:pPr>
            <w:pStyle w:val="Normal"/>
            <w:widowControl w:val="false"/>
            <w:jc w:val="center"/>
            <w:rPr/>
          </w:pPr>
          <w:r>
            <w:rPr>
              <w:rFonts w:cs="Calibri" w:ascii="Calibri" w:hAnsi="Calibri"/>
              <w:b/>
              <w:bCs/>
            </w:rPr>
            <w:t>CONSELHO REGIONAL DE FARMÁCIA DO ESTADO DO PARANÁ – CRF-PR</w:t>
          </w:r>
        </w:p>
        <w:p>
          <w:pPr>
            <w:pStyle w:val="Normal"/>
            <w:widowControl w:val="false"/>
            <w:jc w:val="center"/>
            <w:rPr/>
          </w:pPr>
          <w:r>
            <w:rPr>
              <w:rFonts w:cs="Calibri" w:ascii="Calibri" w:hAnsi="Calibri"/>
            </w:rPr>
            <w:t>RUA PRESIDENTE RODRIGO OTÁVIO, 1296 – HUGO LANGE – CURITIBA – PR CEP 80040-452 Fone/Fax: (41) 3363-0234</w:t>
          </w:r>
        </w:p>
        <w:p>
          <w:pPr>
            <w:pStyle w:val="Normal"/>
            <w:widowControl w:val="false"/>
            <w:jc w:val="center"/>
            <w:rPr/>
          </w:pPr>
          <w:r>
            <w:rPr>
              <w:rFonts w:cs="Calibri" w:ascii="Calibri" w:hAnsi="Calibri"/>
            </w:rPr>
            <w:t>E-mail: crfpr@crf-pr.org.br</w:t>
            <w:tab/>
            <w:tab/>
            <w:tab/>
            <w:tab/>
            <w:t xml:space="preserve"> Site: www.crf-pr.org.br</w:t>
          </w:r>
        </w:p>
      </w:tc>
      <w:tc>
        <w:tcPr>
          <w:tcW w:w="1901" w:type="dxa"/>
          <w:tcBorders>
            <w:bottom w:val="single" w:sz="18" w:space="0" w:color="000000"/>
          </w:tcBorders>
          <w:shd w:color="auto" w:fill="auto" w:val="clear"/>
        </w:tcPr>
        <w:p>
          <w:pPr>
            <w:pStyle w:val="Normal"/>
            <w:widowControl w:val="false"/>
            <w:jc w:val="both"/>
            <w:rPr/>
          </w:pPr>
          <w:r>
            <w:rPr>
              <w:color w:val="FFFFFF"/>
              <w:sz w:val="2"/>
            </w:rPr>
            <w:t>a</w:t>
          </w:r>
          <w:r>
            <w:rPr>
              <w:rFonts w:cs="Arial" w:ascii="Arial" w:hAnsi="Arial"/>
              <w:b/>
              <w:bCs/>
              <w:color w:val="FFFFFF"/>
              <w:sz w:val="16"/>
              <w:lang w:val="pt-BR" w:eastAsia="pt-BR"/>
            </w:rPr>
            <w:drawing>
              <wp:anchor behindDoc="1" distT="0" distB="0" distL="0" distR="0" simplePos="0" locked="0" layoutInCell="1" allowOverlap="1" relativeHeight="5">
                <wp:simplePos x="0" y="0"/>
                <wp:positionH relativeFrom="column">
                  <wp:align>center</wp:align>
                </wp:positionH>
                <wp:positionV relativeFrom="paragraph">
                  <wp:posOffset>635</wp:posOffset>
                </wp:positionV>
                <wp:extent cx="904240" cy="1136015"/>
                <wp:effectExtent l="0" t="0" r="0" b="0"/>
                <wp:wrapSquare wrapText="largest"/>
                <wp:docPr id="2"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
                        <pic:cNvPicPr>
                          <a:picLocks noChangeAspect="1" noChangeArrowheads="1"/>
                        </pic:cNvPicPr>
                      </pic:nvPicPr>
                      <pic:blipFill>
                        <a:blip r:embed="rId2"/>
                        <a:srcRect l="-87" t="-70" r="-87" b="-70"/>
                        <a:stretch>
                          <a:fillRect/>
                        </a:stretch>
                      </pic:blipFill>
                      <pic:spPr bwMode="auto">
                        <a:xfrm>
                          <a:off x="0" y="0"/>
                          <a:ext cx="904240" cy="1136015"/>
                        </a:xfrm>
                        <a:prstGeom prst="rect">
                          <a:avLst/>
                        </a:prstGeom>
                      </pic:spPr>
                    </pic:pic>
                  </a:graphicData>
                </a:graphic>
              </wp:anchor>
            </w:drawing>
          </w:r>
          <w:r>
            <w:rPr>
              <w:rFonts w:cs="Arial" w:ascii="Arial" w:hAnsi="Arial"/>
              <w:b/>
              <w:bCs/>
              <w:color w:val="FFFFFF"/>
              <w:sz w:val="16"/>
              <w:lang w:val="pt-BR" w:eastAsia="pt-BR"/>
            </w:rPr>
            <w:t xml:space="preserve"> </w:t>
          </w:r>
        </w:p>
      </w:tc>
    </w:tr>
  </w:tbl>
  <w:p>
    <w:pPr>
      <w:pStyle w:val="Cabealho"/>
      <w:rPr>
        <w:sz w:val="2"/>
      </w:rPr>
    </w:pPr>
    <w:r>
      <w:rPr>
        <w:sz w:val="2"/>
      </w:rPr>
    </w:r>
  </w:p>
</w:hdr>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overflowPunct w:val="true"/>
      <w:bidi w:val="0"/>
      <w:spacing w:before="0" w:after="0"/>
      <w:jc w:val="left"/>
      <w:textAlignment w:val="baseline"/>
    </w:pPr>
    <w:rPr>
      <w:rFonts w:ascii="Times New Roman" w:hAnsi="Times New Roman" w:eastAsia="Times New Roman" w:cs="Times New Roman"/>
      <w:color w:val="000000"/>
      <w:kern w:val="0"/>
      <w:sz w:val="20"/>
      <w:szCs w:val="20"/>
      <w:lang w:eastAsia="zh-CN" w:val="pt-BR" w:bidi="ar-SA"/>
    </w:rPr>
  </w:style>
  <w:style w:type="paragraph" w:styleId="Ttulo2">
    <w:name w:val="Heading 2"/>
    <w:basedOn w:val="Normal"/>
    <w:next w:val="Corpodotexto"/>
    <w:qFormat/>
    <w:pPr>
      <w:keepLines/>
      <w:overflowPunct w:val="false"/>
      <w:jc w:val="both"/>
      <w:textAlignment w:val="auto"/>
      <w:outlineLvl w:val="1"/>
    </w:pPr>
    <w:rPr>
      <w:rFonts w:ascii="Arial" w:hAnsi="Arial" w:cs="Arial"/>
      <w:b/>
      <w:bCs/>
      <w:lang w:val="x-none"/>
    </w:rPr>
  </w:style>
  <w:style w:type="character" w:styleId="DefaultParagraphFont" w:customStyle="1">
    <w:name w:val="Default Paragraph Font"/>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b w:val="false"/>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HeaderChar" w:customStyle="1">
    <w:name w:val="Header Char"/>
    <w:basedOn w:val="DefaultParagraphFont"/>
    <w:qFormat/>
    <w:rPr/>
  </w:style>
  <w:style w:type="character" w:styleId="FooterChar" w:customStyle="1">
    <w:name w:val="Footer Char"/>
    <w:basedOn w:val="DefaultParagraphFont"/>
    <w:qFormat/>
    <w:rPr/>
  </w:style>
  <w:style w:type="character" w:styleId="BalloonTextChar" w:customStyle="1">
    <w:name w:val="Balloon Text Char"/>
    <w:qFormat/>
    <w:rPr>
      <w:rFonts w:ascii="Tahoma" w:hAnsi="Tahoma" w:cs="Tahoma"/>
      <w:sz w:val="16"/>
      <w:szCs w:val="16"/>
    </w:rPr>
  </w:style>
  <w:style w:type="character" w:styleId="LinkdaInternet">
    <w:name w:val="Link da Internet"/>
    <w:rPr>
      <w:color w:val="0000FF"/>
      <w:u w:val="single"/>
    </w:rPr>
  </w:style>
  <w:style w:type="character" w:styleId="Heading2Char" w:customStyle="1">
    <w:name w:val="Heading 2 Char"/>
    <w:qFormat/>
    <w:rPr>
      <w:rFonts w:ascii="Arial" w:hAnsi="Arial" w:eastAsia="Times New Roman" w:cs="Arial"/>
      <w:b/>
      <w:bCs/>
      <w:sz w:val="20"/>
      <w:szCs w:val="20"/>
    </w:rPr>
  </w:style>
  <w:style w:type="character" w:styleId="Appleconvertedspace" w:customStyle="1">
    <w:name w:val="apple-converted-space"/>
    <w:qFormat/>
    <w:rPr/>
  </w:style>
  <w:style w:type="character" w:styleId="Ttulo2Char" w:customStyle="1">
    <w:name w:val="Título 2 Char"/>
    <w:qFormat/>
    <w:rPr>
      <w:rFonts w:ascii="Arial" w:hAnsi="Arial" w:eastAsia="Times New Roman" w:cs="Times New Roman"/>
      <w:b/>
      <w:bCs/>
      <w:sz w:val="20"/>
      <w:szCs w:val="20"/>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1" w:customStyle="1">
    <w:name w:val="Título1"/>
    <w:basedOn w:val="Normal"/>
    <w:next w:val="Corpodo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CabealhoeRodap" w:customStyle="1">
    <w:name w:val="Cabeçalho e Rodapé"/>
    <w:basedOn w:val="Normal"/>
    <w:qFormat/>
    <w:pPr>
      <w:suppressLineNumbers/>
      <w:tabs>
        <w:tab w:val="clear" w:pos="708"/>
        <w:tab w:val="center" w:pos="4819" w:leader="none"/>
        <w:tab w:val="right" w:pos="9638" w:leader="none"/>
      </w:tabs>
    </w:pPr>
    <w:rPr/>
  </w:style>
  <w:style w:type="paragraph" w:styleId="Cabealho">
    <w:name w:val="Header"/>
    <w:basedOn w:val="Normal"/>
    <w:pPr/>
    <w:rPr/>
  </w:style>
  <w:style w:type="paragraph" w:styleId="Rodap">
    <w:name w:val="Footer"/>
    <w:basedOn w:val="Normal"/>
    <w:pPr/>
    <w:rPr/>
  </w:style>
  <w:style w:type="paragraph" w:styleId="BalloonText" w:customStyle="1">
    <w:name w:val="Balloon Text"/>
    <w:basedOn w:val="Normal"/>
    <w:qFormat/>
    <w:pPr/>
    <w:rPr>
      <w:rFonts w:ascii="Tahoma" w:hAnsi="Tahoma" w:eastAsia="Calibri" w:cs="Tahoma"/>
      <w:sz w:val="16"/>
      <w:szCs w:val="16"/>
      <w:lang w:val="x-none"/>
    </w:rPr>
  </w:style>
  <w:style w:type="paragraph" w:styleId="Default" w:customStyle="1">
    <w:name w:val="Default"/>
    <w:qFormat/>
    <w:pPr>
      <w:widowControl/>
      <w:suppressAutoHyphens w:val="true"/>
      <w:bidi w:val="0"/>
      <w:spacing w:before="0" w:after="0"/>
      <w:jc w:val="left"/>
    </w:pPr>
    <w:rPr>
      <w:rFonts w:ascii="Calibri" w:hAnsi="Calibri" w:eastAsia="Calibri" w:cs="Calibri"/>
      <w:color w:val="000000"/>
      <w:kern w:val="0"/>
      <w:sz w:val="24"/>
      <w:szCs w:val="24"/>
      <w:lang w:eastAsia="zh-CN" w:val="pt-BR" w:bidi="ar-SA"/>
    </w:rPr>
  </w:style>
  <w:style w:type="paragraph" w:styleId="Textopadro" w:customStyle="1">
    <w:name w:val="Texto padrão"/>
    <w:basedOn w:val="Normal"/>
    <w:qFormat/>
    <w:pPr>
      <w:overflowPunct w:val="false"/>
      <w:textAlignment w:val="auto"/>
    </w:pPr>
    <w:rPr>
      <w:sz w:val="24"/>
      <w:lang w:val="en-US"/>
    </w:rPr>
  </w:style>
  <w:style w:type="paragraph" w:styleId="NormalWeb">
    <w:name w:val="Normal (Web)"/>
    <w:basedOn w:val="Normal"/>
    <w:qFormat/>
    <w:pPr>
      <w:overflowPunct w:val="false"/>
      <w:spacing w:before="280" w:after="119"/>
      <w:textAlignment w:val="auto"/>
    </w:pPr>
    <w:rPr>
      <w:sz w:val="24"/>
      <w:szCs w:val="24"/>
    </w:rPr>
  </w:style>
  <w:style w:type="paragraph" w:styleId="Bodytext" w:customStyle="1">
    <w:name w:val="bodytext"/>
    <w:basedOn w:val="Normal"/>
    <w:qFormat/>
    <w:pPr>
      <w:overflowPunct w:val="false"/>
      <w:spacing w:before="280" w:after="280"/>
      <w:textAlignment w:val="auto"/>
    </w:pPr>
    <w:rPr>
      <w:sz w:val="24"/>
      <w:szCs w:val="24"/>
    </w:rPr>
  </w:style>
  <w:style w:type="paragraph" w:styleId="ListParagraph" w:customStyle="1">
    <w:name w:val="List Paragraph"/>
    <w:basedOn w:val="Normal"/>
    <w:qFormat/>
    <w:pPr>
      <w:overflowPunct w:val="false"/>
      <w:spacing w:lineRule="auto" w:line="276" w:before="0" w:after="200"/>
      <w:ind w:left="720" w:hanging="0"/>
      <w:contextualSpacing/>
      <w:textAlignment w:val="auto"/>
    </w:pPr>
    <w:rPr>
      <w:rFonts w:ascii="Calibri" w:hAnsi="Calibri" w:eastAsia="Calibri"/>
      <w:sz w:val="22"/>
      <w:szCs w:val="22"/>
    </w:rPr>
  </w:style>
  <w:style w:type="paragraph" w:styleId="Contedodatabela" w:customStyle="1">
    <w:name w:val="Conteúdo da tabela"/>
    <w:basedOn w:val="Normal"/>
    <w:qFormat/>
    <w:pPr>
      <w:widowControl w:val="false"/>
      <w:suppressLineNumbers/>
    </w:pPr>
    <w:rPr/>
  </w:style>
  <w:style w:type="paragraph" w:styleId="Ttulodetabela" w:customStyle="1">
    <w:name w:val="Título de tabela"/>
    <w:basedOn w:val="Contedodatabela"/>
    <w:qFormat/>
    <w:pPr>
      <w:jc w:val="center"/>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Novo Layout</Template>
  <TotalTime>1</TotalTime>
  <Application>LibreOffice/7.1.7.2$Windows_X86_64 LibreOffice_project/c6a4e3954236145e2acb0b65f68614365aeee33f</Application>
  <AppVersion>15.0000</AppVersion>
  <Pages>4</Pages>
  <Words>1189</Words>
  <Characters>6902</Characters>
  <CharactersWithSpaces>8184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2023-04-26T12:26:00Z</dcterms:created>
  <dc:creator>ana souza</dc:creator>
  <dc:description/>
  <dc:language>pt-BR</dc:language>
  <cp:lastModifiedBy/>
  <cp:lastPrinted>1601-01-01T00:00:00Z</cp:lastPrinted>
  <dcterms:modified xsi:type="dcterms:W3CDTF">2023-04-26T14:49:28Z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